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</w:t>
      </w:r>
      <w:r w:rsidR="00D41C11">
        <w:rPr>
          <w:sz w:val="28"/>
          <w:szCs w:val="28"/>
        </w:rPr>
        <w:t>7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5D54FF">
        <w:rPr>
          <w:sz w:val="28"/>
          <w:szCs w:val="28"/>
        </w:rPr>
        <w:t>9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C7B3E">
        <w:rPr>
          <w:sz w:val="28"/>
          <w:szCs w:val="28"/>
        </w:rPr>
        <w:t>0</w:t>
      </w:r>
      <w:r w:rsidR="00D42AA2">
        <w:rPr>
          <w:sz w:val="28"/>
          <w:szCs w:val="28"/>
        </w:rPr>
        <w:t>.0</w:t>
      </w:r>
      <w:r w:rsidR="00D41C11">
        <w:rPr>
          <w:sz w:val="28"/>
          <w:szCs w:val="28"/>
        </w:rPr>
        <w:t>9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5D54FF">
        <w:rPr>
          <w:sz w:val="28"/>
          <w:szCs w:val="28"/>
        </w:rPr>
        <w:t>9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ED1127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ED1127" w:rsidRDefault="00ED1127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ED1127" w:rsidRDefault="005D54FF" w:rsidP="00A94785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 w:rsidR="008A447B">
              <w:t xml:space="preserve"> </w:t>
            </w:r>
            <w:r>
              <w:t xml:space="preserve">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14.12.2018 г. № 506 «О бюджете муниципального образования «Город Березники» на 2019 год и плановый период 2020-2021 годов»</w:t>
            </w:r>
          </w:p>
        </w:tc>
        <w:tc>
          <w:tcPr>
            <w:tcW w:w="2127" w:type="dxa"/>
            <w:shd w:val="clear" w:color="auto" w:fill="auto"/>
          </w:tcPr>
          <w:p w:rsidR="00ED1127" w:rsidRDefault="005D54FF" w:rsidP="005D54FF">
            <w:pPr>
              <w:spacing w:after="0" w:line="240" w:lineRule="auto"/>
              <w:ind w:firstLine="0"/>
              <w:jc w:val="center"/>
            </w:pPr>
            <w:r>
              <w:t>22</w:t>
            </w:r>
            <w:r w:rsidR="00ED1127">
              <w:t>.07.201</w:t>
            </w:r>
            <w:r>
              <w:t>9</w:t>
            </w:r>
          </w:p>
        </w:tc>
        <w:tc>
          <w:tcPr>
            <w:tcW w:w="6118" w:type="dxa"/>
            <w:shd w:val="clear" w:color="auto" w:fill="auto"/>
          </w:tcPr>
          <w:p w:rsidR="00ED1127" w:rsidRDefault="00ED1127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00406C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00406C" w:rsidRDefault="00ED1127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00406C" w:rsidRPr="00DE2EF8" w:rsidRDefault="00A94785" w:rsidP="005D54FF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</w:t>
            </w:r>
            <w:r w:rsidR="005D54FF">
              <w:t xml:space="preserve">признании </w:t>
            </w:r>
            <w:proofErr w:type="gramStart"/>
            <w:r w:rsidR="005D54FF">
              <w:t>утратившим</w:t>
            </w:r>
            <w:proofErr w:type="gramEnd"/>
            <w:r w:rsidR="005D54FF">
              <w:t xml:space="preserve"> силу решения </w:t>
            </w:r>
            <w:proofErr w:type="spellStart"/>
            <w:r w:rsidR="005D54FF">
              <w:t>Березниковской</w:t>
            </w:r>
            <w:proofErr w:type="spellEnd"/>
            <w:r w:rsidR="005D54FF">
              <w:t xml:space="preserve"> городской Думы от 21.11.2018 № 489 «О системе налогообложения в виде единого налога на вмененный доход для отдельных видов деятельности на территории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00406C" w:rsidRPr="00DE2EF8" w:rsidRDefault="005D54FF" w:rsidP="005D54FF">
            <w:pPr>
              <w:spacing w:after="0" w:line="240" w:lineRule="auto"/>
              <w:ind w:firstLine="0"/>
              <w:jc w:val="center"/>
            </w:pPr>
            <w:r>
              <w:t>19.07</w:t>
            </w:r>
            <w:r w:rsidR="00004AB3">
              <w:t>.201</w:t>
            </w:r>
            <w:r>
              <w:t>9</w:t>
            </w:r>
          </w:p>
        </w:tc>
        <w:tc>
          <w:tcPr>
            <w:tcW w:w="6118" w:type="dxa"/>
            <w:shd w:val="clear" w:color="auto" w:fill="auto"/>
          </w:tcPr>
          <w:p w:rsidR="0000406C" w:rsidRDefault="0000406C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</w:t>
            </w:r>
            <w:r w:rsidR="003C1DAF">
              <w:t>.</w:t>
            </w:r>
          </w:p>
          <w:p w:rsidR="0000406C" w:rsidRDefault="0000406C" w:rsidP="00867617">
            <w:pPr>
              <w:spacing w:after="0" w:line="240" w:lineRule="auto"/>
              <w:ind w:firstLine="0"/>
            </w:pPr>
          </w:p>
        </w:tc>
      </w:tr>
      <w:tr w:rsidR="0000406C" w:rsidRPr="00DE2EF8" w:rsidTr="00ED1127">
        <w:trPr>
          <w:trHeight w:val="1678"/>
        </w:trPr>
        <w:tc>
          <w:tcPr>
            <w:tcW w:w="883" w:type="dxa"/>
            <w:shd w:val="clear" w:color="auto" w:fill="auto"/>
          </w:tcPr>
          <w:p w:rsidR="0000406C" w:rsidRDefault="00E9592D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5501" w:type="dxa"/>
            <w:shd w:val="clear" w:color="auto" w:fill="auto"/>
          </w:tcPr>
          <w:p w:rsidR="0000406C" w:rsidRPr="00DE2EF8" w:rsidRDefault="005D54FF" w:rsidP="00004AB3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утверждении перечня имущества, предлагаемого к передаче из муниципальной собственности муниципального образования «Город Березники» в федеральную собственность»</w:t>
            </w:r>
          </w:p>
        </w:tc>
        <w:tc>
          <w:tcPr>
            <w:tcW w:w="2127" w:type="dxa"/>
            <w:shd w:val="clear" w:color="auto" w:fill="auto"/>
          </w:tcPr>
          <w:p w:rsidR="0000406C" w:rsidRPr="00DE2EF8" w:rsidRDefault="005D54FF" w:rsidP="005D54FF">
            <w:pPr>
              <w:spacing w:after="0" w:line="240" w:lineRule="auto"/>
              <w:ind w:firstLine="0"/>
              <w:jc w:val="center"/>
            </w:pPr>
            <w:r>
              <w:t>19.07</w:t>
            </w:r>
            <w:r w:rsidR="008718D5">
              <w:t>.201</w:t>
            </w:r>
            <w:r>
              <w:t>9</w:t>
            </w:r>
          </w:p>
        </w:tc>
        <w:tc>
          <w:tcPr>
            <w:tcW w:w="6118" w:type="dxa"/>
            <w:shd w:val="clear" w:color="auto" w:fill="auto"/>
          </w:tcPr>
          <w:p w:rsidR="003D6DC0" w:rsidRDefault="008718D5" w:rsidP="00ED112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3D6DC0" w:rsidRPr="00DE2EF8" w:rsidTr="00ED1127">
        <w:trPr>
          <w:trHeight w:val="1835"/>
        </w:trPr>
        <w:tc>
          <w:tcPr>
            <w:tcW w:w="883" w:type="dxa"/>
            <w:shd w:val="clear" w:color="auto" w:fill="auto"/>
          </w:tcPr>
          <w:p w:rsidR="003D6DC0" w:rsidRDefault="008718D5" w:rsidP="00E9358A">
            <w:pPr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501" w:type="dxa"/>
            <w:shd w:val="clear" w:color="auto" w:fill="auto"/>
          </w:tcPr>
          <w:p w:rsidR="003D6DC0" w:rsidRPr="00DE2EF8" w:rsidRDefault="008718D5" w:rsidP="00B62B5D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 w:rsidR="008A447B">
              <w:t xml:space="preserve"> «Об установлении расходного обязательства муниципального образования «Город Березники» на предоставление субсидии на дополнительную помощь при возникновении неотложной необходимости в проведении капитального ремонта общего имущества в многоквартирных домах»</w:t>
            </w:r>
            <w: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3D6DC0" w:rsidRPr="00DE2EF8" w:rsidRDefault="008A447B" w:rsidP="0057069A">
            <w:pPr>
              <w:spacing w:after="0" w:line="240" w:lineRule="auto"/>
              <w:ind w:firstLine="0"/>
              <w:jc w:val="center"/>
            </w:pPr>
            <w:r>
              <w:t>19.08.2019</w:t>
            </w:r>
          </w:p>
        </w:tc>
        <w:tc>
          <w:tcPr>
            <w:tcW w:w="6118" w:type="dxa"/>
            <w:shd w:val="clear" w:color="auto" w:fill="auto"/>
          </w:tcPr>
          <w:p w:rsidR="00165C94" w:rsidRDefault="008718D5" w:rsidP="003C1DAF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718D5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18D5" w:rsidRDefault="008718D5" w:rsidP="00E9358A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501" w:type="dxa"/>
            <w:shd w:val="clear" w:color="auto" w:fill="auto"/>
          </w:tcPr>
          <w:p w:rsidR="008718D5" w:rsidRPr="0057069A" w:rsidRDefault="008718D5" w:rsidP="00B62B5D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</w:t>
            </w:r>
            <w:r w:rsidR="008A447B">
              <w:t xml:space="preserve">«О </w:t>
            </w:r>
            <w:r w:rsidR="008A447B">
              <w:t xml:space="preserve">внесении изменений в решение </w:t>
            </w:r>
            <w:proofErr w:type="spellStart"/>
            <w:r w:rsidR="008A447B">
              <w:t>Березниковской</w:t>
            </w:r>
            <w:proofErr w:type="spellEnd"/>
            <w:r w:rsidR="008A447B">
              <w:t xml:space="preserve"> городской Думы от 14.12.2018 г. № 506 «О бюджете муниципального образования «Город Березники» на 2019 год и плановый период 2020-2021 годов»</w:t>
            </w:r>
          </w:p>
        </w:tc>
        <w:tc>
          <w:tcPr>
            <w:tcW w:w="2127" w:type="dxa"/>
            <w:shd w:val="clear" w:color="auto" w:fill="auto"/>
          </w:tcPr>
          <w:p w:rsidR="008718D5" w:rsidRPr="00DE2EF8" w:rsidRDefault="008A447B" w:rsidP="00867617">
            <w:pPr>
              <w:spacing w:after="0" w:line="240" w:lineRule="auto"/>
              <w:ind w:firstLine="0"/>
              <w:jc w:val="center"/>
            </w:pPr>
            <w:r>
              <w:t>19.08.2019</w:t>
            </w:r>
          </w:p>
        </w:tc>
        <w:tc>
          <w:tcPr>
            <w:tcW w:w="6118" w:type="dxa"/>
            <w:shd w:val="clear" w:color="auto" w:fill="auto"/>
          </w:tcPr>
          <w:p w:rsidR="008718D5" w:rsidRDefault="008718D5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7C483D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7C483D" w:rsidRDefault="00A6347C" w:rsidP="00E9358A">
            <w:pPr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501" w:type="dxa"/>
            <w:shd w:val="clear" w:color="auto" w:fill="auto"/>
          </w:tcPr>
          <w:p w:rsidR="007C483D" w:rsidRDefault="007C483D" w:rsidP="00A6347C">
            <w:pPr>
              <w:spacing w:after="0" w:line="240" w:lineRule="auto"/>
              <w:ind w:firstLine="0"/>
            </w:pPr>
            <w:r>
              <w:t>Информация по исполнению бюджета</w:t>
            </w:r>
            <w:r w:rsidR="00A6347C">
              <w:t xml:space="preserve"> муниципального </w:t>
            </w:r>
            <w:proofErr w:type="spellStart"/>
            <w:r w:rsidR="00A6347C">
              <w:t>огбразования</w:t>
            </w:r>
            <w:proofErr w:type="spellEnd"/>
            <w:r>
              <w:t xml:space="preserve"> </w:t>
            </w:r>
            <w:r w:rsidR="00A6347C">
              <w:t>«Г</w:t>
            </w:r>
            <w:r>
              <w:t>ород Березники</w:t>
            </w:r>
            <w:r w:rsidR="00A6347C">
              <w:t>»</w:t>
            </w:r>
            <w:r>
              <w:t xml:space="preserve"> за 1 полугодие 2018 года</w:t>
            </w:r>
          </w:p>
        </w:tc>
        <w:tc>
          <w:tcPr>
            <w:tcW w:w="2127" w:type="dxa"/>
            <w:shd w:val="clear" w:color="auto" w:fill="auto"/>
          </w:tcPr>
          <w:p w:rsidR="007C483D" w:rsidRDefault="00A6347C" w:rsidP="00867617">
            <w:pPr>
              <w:spacing w:after="0" w:line="240" w:lineRule="auto"/>
              <w:ind w:firstLine="0"/>
              <w:jc w:val="center"/>
            </w:pPr>
            <w:r>
              <w:t>28.08.2019</w:t>
            </w:r>
          </w:p>
        </w:tc>
        <w:tc>
          <w:tcPr>
            <w:tcW w:w="6118" w:type="dxa"/>
            <w:shd w:val="clear" w:color="auto" w:fill="auto"/>
          </w:tcPr>
          <w:p w:rsidR="007C483D" w:rsidRDefault="007C483D" w:rsidP="00867617">
            <w:pPr>
              <w:spacing w:after="0" w:line="240" w:lineRule="auto"/>
              <w:ind w:firstLine="0"/>
            </w:pPr>
            <w:r w:rsidRPr="008718D5">
              <w:t>Контрольно-счетная палата города Березники</w:t>
            </w:r>
            <w:r>
              <w:t xml:space="preserve"> считает возможным рекомендовать:</w:t>
            </w:r>
          </w:p>
          <w:p w:rsidR="007C483D" w:rsidRDefault="007C483D" w:rsidP="00867617">
            <w:pPr>
              <w:spacing w:after="0" w:line="240" w:lineRule="auto"/>
              <w:ind w:firstLine="0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 принять к сведению отчет об исполнении бюджета </w:t>
            </w:r>
            <w:r w:rsidR="00A6347C">
              <w:t>муниципального образования «Г</w:t>
            </w:r>
            <w:r>
              <w:t>ород Березники</w:t>
            </w:r>
            <w:r w:rsidR="00A6347C">
              <w:t>»</w:t>
            </w:r>
            <w:r>
              <w:t xml:space="preserve"> за 1 полугодие 2018 года.</w:t>
            </w:r>
          </w:p>
          <w:p w:rsidR="007C483D" w:rsidRPr="00705E7A" w:rsidRDefault="007C483D" w:rsidP="00867617">
            <w:pPr>
              <w:spacing w:after="0" w:line="240" w:lineRule="auto"/>
              <w:ind w:firstLine="0"/>
            </w:pPr>
          </w:p>
        </w:tc>
      </w:tr>
      <w:tr w:rsidR="00872FB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2FB0" w:rsidRDefault="00A6347C" w:rsidP="00E9358A">
            <w:pPr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501" w:type="dxa"/>
            <w:shd w:val="clear" w:color="auto" w:fill="auto"/>
          </w:tcPr>
          <w:p w:rsidR="00872FB0" w:rsidRPr="0057069A" w:rsidRDefault="00845274" w:rsidP="00DE2EF8">
            <w:pPr>
              <w:spacing w:after="0" w:line="240" w:lineRule="auto"/>
              <w:ind w:firstLine="0"/>
            </w:pPr>
            <w:r>
              <w:t>Аналитическая информация о величине недоимки по платежам за аренду муниципального имущества и принятых мерах по ее снижению</w:t>
            </w:r>
          </w:p>
        </w:tc>
        <w:tc>
          <w:tcPr>
            <w:tcW w:w="2127" w:type="dxa"/>
            <w:shd w:val="clear" w:color="auto" w:fill="auto"/>
          </w:tcPr>
          <w:p w:rsidR="00872FB0" w:rsidRPr="00DE2EF8" w:rsidRDefault="00A6347C" w:rsidP="00867617">
            <w:pPr>
              <w:spacing w:after="0" w:line="240" w:lineRule="auto"/>
              <w:ind w:firstLine="0"/>
              <w:jc w:val="center"/>
            </w:pPr>
            <w:r>
              <w:t>06.09.2019</w:t>
            </w:r>
          </w:p>
        </w:tc>
        <w:tc>
          <w:tcPr>
            <w:tcW w:w="6118" w:type="dxa"/>
            <w:shd w:val="clear" w:color="auto" w:fill="auto"/>
          </w:tcPr>
          <w:p w:rsidR="00872FB0" w:rsidRDefault="002C38E3" w:rsidP="00867617">
            <w:pPr>
              <w:spacing w:after="0" w:line="240" w:lineRule="auto"/>
              <w:ind w:firstLine="0"/>
            </w:pPr>
            <w:r>
              <w:t xml:space="preserve">По итогам данного анализа КСП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рекомендовать </w:t>
            </w:r>
            <w:r w:rsidR="00845274">
              <w:t>Управлению имущественных и земельных отношений:</w:t>
            </w:r>
          </w:p>
          <w:p w:rsidR="002C38E3" w:rsidRDefault="00845274" w:rsidP="002C38E3">
            <w:pPr>
              <w:spacing w:after="0" w:line="240" w:lineRule="auto"/>
              <w:ind w:firstLine="0"/>
            </w:pPr>
            <w:r>
              <w:t xml:space="preserve">- </w:t>
            </w:r>
            <w:r w:rsidR="002C38E3">
              <w:t xml:space="preserve">в целях уменьшения задолженности по арендной плате за муниципальное имущество активизировать работу по всем направлениям и усилить </w:t>
            </w:r>
            <w:proofErr w:type="gramStart"/>
            <w:r w:rsidR="002C38E3">
              <w:t>контроль за</w:t>
            </w:r>
            <w:proofErr w:type="gramEnd"/>
            <w:r w:rsidR="002C38E3">
              <w:t xml:space="preserve"> поступлением неналоговых платежей;</w:t>
            </w:r>
          </w:p>
          <w:p w:rsidR="00845274" w:rsidRDefault="00845274" w:rsidP="002C38E3">
            <w:pPr>
              <w:spacing w:after="0" w:line="240" w:lineRule="auto"/>
              <w:ind w:firstLine="0"/>
            </w:pPr>
            <w:r>
              <w:t xml:space="preserve">- продолжить работу с Отделом судебных приставов </w:t>
            </w:r>
            <w:r w:rsidR="0070071A">
              <w:t xml:space="preserve">по </w:t>
            </w:r>
            <w:proofErr w:type="spellStart"/>
            <w:r w:rsidR="0070071A">
              <w:t>г</w:t>
            </w:r>
            <w:proofErr w:type="gramStart"/>
            <w:r w:rsidR="0070071A">
              <w:t>.Б</w:t>
            </w:r>
            <w:proofErr w:type="gramEnd"/>
            <w:r w:rsidR="0070071A">
              <w:t>ерезники</w:t>
            </w:r>
            <w:proofErr w:type="spellEnd"/>
            <w:r w:rsidR="0070071A">
              <w:t xml:space="preserve"> УФССП по П</w:t>
            </w:r>
            <w:r>
              <w:t>ермскому краю.</w:t>
            </w:r>
          </w:p>
        </w:tc>
      </w:tr>
      <w:tr w:rsidR="00872FB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2FB0" w:rsidRDefault="002C38E3" w:rsidP="00E9358A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01" w:type="dxa"/>
            <w:shd w:val="clear" w:color="auto" w:fill="auto"/>
          </w:tcPr>
          <w:p w:rsidR="00872FB0" w:rsidRPr="0057069A" w:rsidRDefault="00845274" w:rsidP="00DE2EF8">
            <w:pPr>
              <w:spacing w:after="0" w:line="240" w:lineRule="auto"/>
              <w:ind w:firstLine="0"/>
            </w:pPr>
            <w:r>
              <w:t>Аналитическая информация о величине недоимки по платежам за аренду земли и принятых мерах по её снижению</w:t>
            </w:r>
          </w:p>
        </w:tc>
        <w:tc>
          <w:tcPr>
            <w:tcW w:w="2127" w:type="dxa"/>
            <w:shd w:val="clear" w:color="auto" w:fill="auto"/>
          </w:tcPr>
          <w:p w:rsidR="00872FB0" w:rsidRPr="00DE2EF8" w:rsidRDefault="002C38E3" w:rsidP="00867617">
            <w:pPr>
              <w:spacing w:after="0" w:line="240" w:lineRule="auto"/>
              <w:ind w:firstLine="0"/>
              <w:jc w:val="center"/>
            </w:pPr>
            <w:r>
              <w:t>06.09.2019</w:t>
            </w:r>
          </w:p>
        </w:tc>
        <w:tc>
          <w:tcPr>
            <w:tcW w:w="6118" w:type="dxa"/>
            <w:shd w:val="clear" w:color="auto" w:fill="auto"/>
          </w:tcPr>
          <w:p w:rsidR="00845274" w:rsidRDefault="002C38E3" w:rsidP="00845274">
            <w:pPr>
              <w:spacing w:after="0" w:line="240" w:lineRule="auto"/>
              <w:ind w:firstLine="0"/>
            </w:pPr>
            <w:r>
              <w:t xml:space="preserve">По итогам данного анализа КСП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рекомендовать </w:t>
            </w:r>
            <w:r w:rsidR="00845274">
              <w:t>Управлению имущественных и земельных отношений:</w:t>
            </w:r>
          </w:p>
          <w:p w:rsidR="00845274" w:rsidRDefault="00845274" w:rsidP="00867617">
            <w:pPr>
              <w:spacing w:after="0" w:line="240" w:lineRule="auto"/>
              <w:ind w:firstLine="0"/>
            </w:pPr>
            <w:r>
              <w:t xml:space="preserve">- повышать эффективность </w:t>
            </w:r>
            <w:proofErr w:type="spellStart"/>
            <w:r>
              <w:t>претензионно</w:t>
            </w:r>
            <w:proofErr w:type="spellEnd"/>
            <w:r>
              <w:t>-исковой работы;</w:t>
            </w:r>
          </w:p>
          <w:p w:rsidR="00845274" w:rsidRDefault="00845274" w:rsidP="00867617">
            <w:pPr>
              <w:spacing w:after="0" w:line="240" w:lineRule="auto"/>
              <w:ind w:firstLine="0"/>
            </w:pPr>
            <w:r>
              <w:t xml:space="preserve">- </w:t>
            </w:r>
            <w:r w:rsidR="0070071A">
              <w:t xml:space="preserve">продолжить работу с Отделом судебных приставов по </w:t>
            </w:r>
            <w:proofErr w:type="spellStart"/>
            <w:r w:rsidR="0070071A">
              <w:t>г</w:t>
            </w:r>
            <w:proofErr w:type="gramStart"/>
            <w:r w:rsidR="0070071A">
              <w:t>.Б</w:t>
            </w:r>
            <w:proofErr w:type="gramEnd"/>
            <w:r w:rsidR="0070071A">
              <w:t>ерезники</w:t>
            </w:r>
            <w:proofErr w:type="spellEnd"/>
            <w:r w:rsidR="0070071A">
              <w:t xml:space="preserve"> УФССП по Пермскому краю;</w:t>
            </w:r>
          </w:p>
          <w:p w:rsidR="0070071A" w:rsidRDefault="0070071A" w:rsidP="00867617">
            <w:pPr>
              <w:spacing w:after="0" w:line="240" w:lineRule="auto"/>
              <w:ind w:firstLine="0"/>
            </w:pPr>
            <w:r>
              <w:t>- учитывая действующую практику других муниципальных образований, в качестве одной из мер по снижению задолженности по арендной плате за землю рассмотреть вопрос о введении обеспечительного платежа.</w:t>
            </w:r>
          </w:p>
        </w:tc>
      </w:tr>
      <w:tr w:rsidR="00A6347C" w:rsidTr="00E103E3">
        <w:trPr>
          <w:trHeight w:val="2030"/>
        </w:trPr>
        <w:tc>
          <w:tcPr>
            <w:tcW w:w="883" w:type="dxa"/>
            <w:shd w:val="clear" w:color="auto" w:fill="auto"/>
          </w:tcPr>
          <w:p w:rsidR="00A6347C" w:rsidRDefault="002C38E3" w:rsidP="00E103E3">
            <w:pPr>
              <w:spacing w:after="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501" w:type="dxa"/>
            <w:shd w:val="clear" w:color="auto" w:fill="auto"/>
          </w:tcPr>
          <w:p w:rsidR="00A6347C" w:rsidRPr="0057069A" w:rsidRDefault="00A6347C" w:rsidP="00E103E3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</w:t>
            </w:r>
            <w:r w:rsidR="002C38E3">
              <w:t>«Об установлении расходного обязательства муниципального образования «Город Березники» на дополнительную социальную помощь отдельным категориям граждан, подлежащим переселению из жилищного фонда, признанного аварийным (непригодным для проживания) вследствие техногенной аварии на БПКРУ-1 ПАО «</w:t>
            </w:r>
            <w:proofErr w:type="spellStart"/>
            <w:r w:rsidR="002C38E3">
              <w:t>Уралкалий</w:t>
            </w:r>
            <w:proofErr w:type="spellEnd"/>
            <w:r w:rsidR="002C38E3">
              <w:t>»</w:t>
            </w:r>
            <w:r w:rsidR="00096091">
              <w:t xml:space="preserve"> </w:t>
            </w:r>
            <w:proofErr w:type="spellStart"/>
            <w:r w:rsidR="00096091">
              <w:t>г</w:t>
            </w:r>
            <w:proofErr w:type="gramStart"/>
            <w:r w:rsidR="00096091">
              <w:t>.Б</w:t>
            </w:r>
            <w:proofErr w:type="gramEnd"/>
            <w:r w:rsidR="00096091">
              <w:t>ерезники</w:t>
            </w:r>
            <w:proofErr w:type="spellEnd"/>
            <w:r w:rsidR="00096091">
              <w:t>, на 2020 го</w:t>
            </w:r>
            <w:r w:rsidR="002C38E3">
              <w:t>д»</w:t>
            </w:r>
          </w:p>
        </w:tc>
        <w:tc>
          <w:tcPr>
            <w:tcW w:w="2127" w:type="dxa"/>
            <w:shd w:val="clear" w:color="auto" w:fill="auto"/>
          </w:tcPr>
          <w:p w:rsidR="00A6347C" w:rsidRPr="00DE2EF8" w:rsidRDefault="002C38E3" w:rsidP="00E103E3">
            <w:pPr>
              <w:spacing w:after="0" w:line="240" w:lineRule="auto"/>
              <w:ind w:firstLine="0"/>
              <w:jc w:val="center"/>
            </w:pPr>
            <w:r>
              <w:t>16.09.2019</w:t>
            </w:r>
          </w:p>
        </w:tc>
        <w:tc>
          <w:tcPr>
            <w:tcW w:w="6118" w:type="dxa"/>
            <w:shd w:val="clear" w:color="auto" w:fill="auto"/>
          </w:tcPr>
          <w:p w:rsidR="00A6347C" w:rsidRDefault="00A6347C" w:rsidP="00E103E3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A6347C" w:rsidTr="00E103E3">
        <w:trPr>
          <w:trHeight w:val="2030"/>
        </w:trPr>
        <w:tc>
          <w:tcPr>
            <w:tcW w:w="883" w:type="dxa"/>
            <w:shd w:val="clear" w:color="auto" w:fill="auto"/>
          </w:tcPr>
          <w:p w:rsidR="00A6347C" w:rsidRDefault="00A6347C" w:rsidP="00E103E3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01" w:type="dxa"/>
            <w:shd w:val="clear" w:color="auto" w:fill="auto"/>
          </w:tcPr>
          <w:p w:rsidR="00A6347C" w:rsidRPr="0057069A" w:rsidRDefault="00A6347C" w:rsidP="00E103E3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</w:t>
            </w:r>
            <w:r w:rsidR="00096091">
              <w:t xml:space="preserve">« О внесении изменений в решение </w:t>
            </w:r>
            <w:proofErr w:type="spellStart"/>
            <w:r w:rsidR="00096091">
              <w:t>Березниковской</w:t>
            </w:r>
            <w:proofErr w:type="spellEnd"/>
            <w:r w:rsidR="00096091">
              <w:t xml:space="preserve"> городской Думы от 24.02.2010г. № 722 «Об утверждении </w:t>
            </w:r>
            <w:proofErr w:type="gramStart"/>
            <w:r w:rsidR="00096091">
              <w:t>Порядка формирования перечня муниципального имущества города</w:t>
            </w:r>
            <w:proofErr w:type="gramEnd"/>
            <w:r w:rsidR="00096091">
              <w:t xml:space="preserve"> Березники,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  <w:tc>
          <w:tcPr>
            <w:tcW w:w="2127" w:type="dxa"/>
            <w:shd w:val="clear" w:color="auto" w:fill="auto"/>
          </w:tcPr>
          <w:p w:rsidR="00A6347C" w:rsidRPr="00DE2EF8" w:rsidRDefault="00A6347C" w:rsidP="00E103E3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6118" w:type="dxa"/>
            <w:shd w:val="clear" w:color="auto" w:fill="auto"/>
          </w:tcPr>
          <w:p w:rsidR="00A6347C" w:rsidRDefault="00A6347C" w:rsidP="00E103E3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A6347C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A6347C" w:rsidRDefault="00096091" w:rsidP="00E103E3">
            <w:pPr>
              <w:spacing w:after="0" w:line="240" w:lineRule="auto"/>
              <w:ind w:firstLine="0"/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5501" w:type="dxa"/>
            <w:shd w:val="clear" w:color="auto" w:fill="auto"/>
          </w:tcPr>
          <w:p w:rsidR="00A6347C" w:rsidRPr="0057069A" w:rsidRDefault="00A6347C" w:rsidP="00E103E3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</w:t>
            </w:r>
            <w:r w:rsidR="00096091">
              <w:t xml:space="preserve">«О внесении изменений в Положение о бюджетном процессе муниципального образования «Город Березники», утвержденное решением </w:t>
            </w:r>
            <w:proofErr w:type="spellStart"/>
            <w:r w:rsidR="00096091">
              <w:t>Березниковской</w:t>
            </w:r>
            <w:proofErr w:type="spellEnd"/>
            <w:r w:rsidR="00096091">
              <w:t xml:space="preserve"> городской Думы от 30.10.2007 № 356.</w:t>
            </w:r>
          </w:p>
        </w:tc>
        <w:tc>
          <w:tcPr>
            <w:tcW w:w="2127" w:type="dxa"/>
            <w:shd w:val="clear" w:color="auto" w:fill="auto"/>
          </w:tcPr>
          <w:p w:rsidR="00A6347C" w:rsidRPr="00DE2EF8" w:rsidRDefault="00096091" w:rsidP="00E103E3">
            <w:pPr>
              <w:spacing w:after="0" w:line="240" w:lineRule="auto"/>
              <w:ind w:firstLine="0"/>
              <w:jc w:val="center"/>
            </w:pPr>
            <w:r>
              <w:t>16.09.2009</w:t>
            </w:r>
          </w:p>
        </w:tc>
        <w:tc>
          <w:tcPr>
            <w:tcW w:w="6118" w:type="dxa"/>
            <w:shd w:val="clear" w:color="auto" w:fill="auto"/>
          </w:tcPr>
          <w:p w:rsidR="00A6347C" w:rsidRDefault="00A6347C" w:rsidP="00E103E3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A6347C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A6347C" w:rsidRDefault="00A6347C" w:rsidP="00E9358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01" w:type="dxa"/>
            <w:shd w:val="clear" w:color="auto" w:fill="auto"/>
          </w:tcPr>
          <w:p w:rsidR="00A6347C" w:rsidRDefault="00A6347C" w:rsidP="00DE2EF8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A6347C" w:rsidRPr="00DE2EF8" w:rsidRDefault="00A6347C" w:rsidP="00867617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6118" w:type="dxa"/>
            <w:shd w:val="clear" w:color="auto" w:fill="auto"/>
          </w:tcPr>
          <w:p w:rsidR="00A6347C" w:rsidRDefault="00A6347C" w:rsidP="00845274">
            <w:pPr>
              <w:spacing w:after="0" w:line="240" w:lineRule="auto"/>
              <w:ind w:firstLine="0"/>
            </w:pP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846A1"/>
    <w:rsid w:val="0008516B"/>
    <w:rsid w:val="00096091"/>
    <w:rsid w:val="000A2D5B"/>
    <w:rsid w:val="000D0CC2"/>
    <w:rsid w:val="000E29DE"/>
    <w:rsid w:val="00124100"/>
    <w:rsid w:val="00140817"/>
    <w:rsid w:val="00165C94"/>
    <w:rsid w:val="00170437"/>
    <w:rsid w:val="001B0014"/>
    <w:rsid w:val="001F0BC4"/>
    <w:rsid w:val="002845A3"/>
    <w:rsid w:val="002A1B06"/>
    <w:rsid w:val="002A516B"/>
    <w:rsid w:val="002C38E3"/>
    <w:rsid w:val="002D0594"/>
    <w:rsid w:val="003115F3"/>
    <w:rsid w:val="00312549"/>
    <w:rsid w:val="003216D0"/>
    <w:rsid w:val="00375A53"/>
    <w:rsid w:val="00377420"/>
    <w:rsid w:val="003C1DAF"/>
    <w:rsid w:val="003D6DC0"/>
    <w:rsid w:val="00497B5D"/>
    <w:rsid w:val="0051630F"/>
    <w:rsid w:val="0057069A"/>
    <w:rsid w:val="00581E72"/>
    <w:rsid w:val="005A5C8C"/>
    <w:rsid w:val="005C2802"/>
    <w:rsid w:val="005D54FF"/>
    <w:rsid w:val="006235F1"/>
    <w:rsid w:val="00644026"/>
    <w:rsid w:val="006F7DDA"/>
    <w:rsid w:val="0070071A"/>
    <w:rsid w:val="00703692"/>
    <w:rsid w:val="00705E7A"/>
    <w:rsid w:val="0071727E"/>
    <w:rsid w:val="007975C8"/>
    <w:rsid w:val="007C483D"/>
    <w:rsid w:val="007E5A7C"/>
    <w:rsid w:val="00845274"/>
    <w:rsid w:val="00851F7D"/>
    <w:rsid w:val="008614FD"/>
    <w:rsid w:val="00867617"/>
    <w:rsid w:val="008718D5"/>
    <w:rsid w:val="00872FB0"/>
    <w:rsid w:val="00880255"/>
    <w:rsid w:val="008935B7"/>
    <w:rsid w:val="008A447B"/>
    <w:rsid w:val="008F4525"/>
    <w:rsid w:val="00901384"/>
    <w:rsid w:val="009838FC"/>
    <w:rsid w:val="009B11F3"/>
    <w:rsid w:val="009C39B3"/>
    <w:rsid w:val="00A47706"/>
    <w:rsid w:val="00A6347C"/>
    <w:rsid w:val="00A94785"/>
    <w:rsid w:val="00AB6282"/>
    <w:rsid w:val="00AF602B"/>
    <w:rsid w:val="00B025B4"/>
    <w:rsid w:val="00B12A44"/>
    <w:rsid w:val="00B32173"/>
    <w:rsid w:val="00B32306"/>
    <w:rsid w:val="00B428A5"/>
    <w:rsid w:val="00B62B5D"/>
    <w:rsid w:val="00B76542"/>
    <w:rsid w:val="00B87810"/>
    <w:rsid w:val="00BC1DC7"/>
    <w:rsid w:val="00BC7B3E"/>
    <w:rsid w:val="00BF4902"/>
    <w:rsid w:val="00C32681"/>
    <w:rsid w:val="00C62A9E"/>
    <w:rsid w:val="00CC59E4"/>
    <w:rsid w:val="00D269CF"/>
    <w:rsid w:val="00D41C11"/>
    <w:rsid w:val="00D42AA2"/>
    <w:rsid w:val="00DB5026"/>
    <w:rsid w:val="00DC400B"/>
    <w:rsid w:val="00DE2EF8"/>
    <w:rsid w:val="00DE3259"/>
    <w:rsid w:val="00E07987"/>
    <w:rsid w:val="00E256E0"/>
    <w:rsid w:val="00E61389"/>
    <w:rsid w:val="00E9358A"/>
    <w:rsid w:val="00E9592D"/>
    <w:rsid w:val="00EA785A"/>
    <w:rsid w:val="00EB57F0"/>
    <w:rsid w:val="00ED1127"/>
    <w:rsid w:val="00F041E3"/>
    <w:rsid w:val="00F16DA8"/>
    <w:rsid w:val="00F461E0"/>
    <w:rsid w:val="00F46C3C"/>
    <w:rsid w:val="00F50CA4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4</cp:revision>
  <cp:lastPrinted>2016-12-19T11:39:00Z</cp:lastPrinted>
  <dcterms:created xsi:type="dcterms:W3CDTF">2019-07-31T11:48:00Z</dcterms:created>
  <dcterms:modified xsi:type="dcterms:W3CDTF">2019-09-18T06:41:00Z</dcterms:modified>
</cp:coreProperties>
</file>