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61" w:rsidRDefault="00626B4A">
      <w:pPr>
        <w:pStyle w:val="normal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ОТЧЁТ о работе за 2020 год</w:t>
      </w:r>
    </w:p>
    <w:p w:rsidR="00C96A61" w:rsidRDefault="00626B4A">
      <w:pPr>
        <w:pStyle w:val="normal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депутата Березниковской городской Думы</w:t>
      </w:r>
    </w:p>
    <w:p w:rsidR="00C96A61" w:rsidRDefault="00626B4A">
      <w:pPr>
        <w:pStyle w:val="normal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округу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</w:p>
    <w:p w:rsidR="00C96A61" w:rsidRDefault="00626B4A">
      <w:pPr>
        <w:pStyle w:val="normal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Мухатаевой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Венеры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Ряшидовны</w:t>
      </w:r>
      <w:proofErr w:type="spellEnd"/>
    </w:p>
    <w:p w:rsidR="00107535" w:rsidRPr="00107535" w:rsidRDefault="00107535" w:rsidP="00107535">
      <w:pPr>
        <w:pStyle w:val="normal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53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107535">
        <w:rPr>
          <w:rFonts w:ascii="Times New Roman" w:eastAsia="Times New Roman" w:hAnsi="Times New Roman" w:cs="Times New Roman"/>
          <w:bCs/>
          <w:sz w:val="24"/>
          <w:szCs w:val="24"/>
        </w:rPr>
        <w:t>отчете</w:t>
      </w:r>
      <w:proofErr w:type="gramEnd"/>
      <w:r w:rsidRPr="001075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отражена деятельность депутата </w:t>
      </w:r>
      <w:r w:rsidRPr="001075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1075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созыва (январь – сентябрь 2020 года), а также итоги работы депутата с сентября по декабрь 2020 года в рамках </w:t>
      </w:r>
      <w:r w:rsidRPr="001075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 w:rsidRPr="001075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созыва.</w:t>
      </w:r>
    </w:p>
    <w:p w:rsidR="00C96A61" w:rsidRDefault="00626B4A">
      <w:pPr>
        <w:pStyle w:val="normal"/>
        <w:widowControl w:val="0"/>
        <w:numPr>
          <w:ilvl w:val="0"/>
          <w:numId w:val="9"/>
        </w:numPr>
        <w:spacing w:before="240" w:after="100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ИНФОРМАЦИЯ О РАБОТЕ С ОБРАЩЕНИЯМИ ГРАЖДАН</w:t>
      </w:r>
    </w:p>
    <w:p w:rsidR="00107535" w:rsidRPr="00107535" w:rsidRDefault="00107535" w:rsidP="00107535">
      <w:pPr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</w:pPr>
      <w:r w:rsidRPr="00107535">
        <w:rPr>
          <w:rFonts w:ascii="Times New Roman" w:hAnsi="Times New Roman" w:cs="Times New Roman"/>
          <w:sz w:val="24"/>
          <w:szCs w:val="28"/>
        </w:rPr>
        <w:t xml:space="preserve">В течение первого квартала 2020 года депутат проводил прием жителей округа по адресу: </w:t>
      </w:r>
      <w:r>
        <w:rPr>
          <w:rFonts w:ascii="Times New Roman" w:hAnsi="Times New Roman" w:cs="Times New Roman"/>
          <w:sz w:val="24"/>
          <w:szCs w:val="28"/>
        </w:rPr>
        <w:t>ул. Ломоносова, 89а Дворец детского (юношеского) творчества (второй вторник месяца с 18:30 до 19:30)</w:t>
      </w:r>
      <w:r w:rsidRPr="00107535">
        <w:rPr>
          <w:rFonts w:ascii="Times New Roman" w:hAnsi="Times New Roman" w:cs="Times New Roman"/>
          <w:sz w:val="24"/>
          <w:szCs w:val="28"/>
        </w:rPr>
        <w:t xml:space="preserve">. 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107535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107535">
        <w:rPr>
          <w:rFonts w:ascii="Times New Roman" w:hAnsi="Times New Roman" w:cs="Times New Roman"/>
          <w:sz w:val="24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050202">
        <w:rPr>
          <w:rFonts w:ascii="Times New Roman" w:hAnsi="Times New Roman" w:cs="Times New Roman"/>
          <w:sz w:val="24"/>
          <w:szCs w:val="28"/>
        </w:rPr>
        <w:t>письменной</w:t>
      </w:r>
      <w:r w:rsidRPr="00107535">
        <w:rPr>
          <w:rFonts w:ascii="Times New Roman" w:hAnsi="Times New Roman" w:cs="Times New Roman"/>
          <w:sz w:val="24"/>
          <w:szCs w:val="28"/>
        </w:rPr>
        <w:t xml:space="preserve"> форме. </w:t>
      </w:r>
    </w:p>
    <w:p w:rsidR="00C96A61" w:rsidRDefault="00626B4A">
      <w:pPr>
        <w:pStyle w:val="normal"/>
        <w:widowControl w:val="0"/>
        <w:numPr>
          <w:ilvl w:val="0"/>
          <w:numId w:val="10"/>
        </w:numPr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Количество обращений</w:t>
      </w:r>
    </w:p>
    <w:p w:rsidR="00C96A61" w:rsidRDefault="00626B4A">
      <w:pPr>
        <w:pStyle w:val="normal"/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2020 года проведено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приема, на которых поступило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обращение граждан. </w:t>
      </w:r>
    </w:p>
    <w:tbl>
      <w:tblPr>
        <w:tblStyle w:val="a5"/>
        <w:tblW w:w="9247" w:type="dxa"/>
        <w:tblInd w:w="98" w:type="dxa"/>
        <w:tblLayout w:type="fixed"/>
        <w:tblLook w:val="0000"/>
      </w:tblPr>
      <w:tblGrid>
        <w:gridCol w:w="2175"/>
        <w:gridCol w:w="1820"/>
        <w:gridCol w:w="2507"/>
        <w:gridCol w:w="2745"/>
      </w:tblGrid>
      <w:tr w:rsidR="00C96A61">
        <w:trPr>
          <w:trHeight w:val="24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приёмов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C96A61">
        <w:trPr>
          <w:trHeight w:val="30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C96A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C96A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</w:p>
        </w:tc>
      </w:tr>
      <w:tr w:rsidR="00C96A61">
        <w:trPr>
          <w:trHeight w:val="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квартал 2020 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C96A6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A61">
        <w:trPr>
          <w:trHeight w:val="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квартал 2020 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C96A6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6A61">
        <w:trPr>
          <w:trHeight w:val="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квартал 2020 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C96A6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96A61">
        <w:trPr>
          <w:trHeight w:val="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квартал 2020 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C96A6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C96A61" w:rsidRDefault="00626B4A">
      <w:pPr>
        <w:pStyle w:val="normal"/>
        <w:widowControl w:val="0"/>
        <w:numPr>
          <w:ilvl w:val="0"/>
          <w:numId w:val="11"/>
        </w:numPr>
        <w:spacing w:before="240" w:after="100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Тематика обращений</w:t>
      </w:r>
    </w:p>
    <w:tbl>
      <w:tblPr>
        <w:tblStyle w:val="a6"/>
        <w:tblW w:w="9247" w:type="dxa"/>
        <w:tblInd w:w="98" w:type="dxa"/>
        <w:tblLayout w:type="fixed"/>
        <w:tblLook w:val="0000"/>
      </w:tblPr>
      <w:tblGrid>
        <w:gridCol w:w="7830"/>
        <w:gridCol w:w="1417"/>
      </w:tblGrid>
      <w:tr w:rsidR="00C96A61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</w:tr>
      <w:tr w:rsidR="00C96A61">
        <w:trPr>
          <w:trHeight w:val="829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Ремонты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благоустройство придомовой территории:</w:t>
            </w:r>
          </w:p>
          <w:p w:rsidR="00C96A61" w:rsidRDefault="00C96A6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6A61">
        <w:trPr>
          <w:trHeight w:val="69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Плата за жильё и коммунальные услуги:</w:t>
            </w:r>
          </w:p>
          <w:p w:rsidR="00C96A61" w:rsidRDefault="00C96A6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6A61">
        <w:trPr>
          <w:trHeight w:val="69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дорог и межквартальных проездов:</w:t>
            </w:r>
          </w:p>
          <w:p w:rsidR="00C96A61" w:rsidRDefault="00C96A61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6A61">
        <w:trPr>
          <w:trHeight w:val="69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спорта, спортивных секций и объектов: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6A61">
        <w:trPr>
          <w:trHeight w:val="69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омощь и льготы:</w:t>
            </w:r>
          </w:p>
          <w:p w:rsidR="00C96A61" w:rsidRDefault="00C96A61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A61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обращения:</w:t>
            </w:r>
          </w:p>
          <w:p w:rsidR="00C96A61" w:rsidRDefault="00C96A61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A61" w:rsidRDefault="00626B4A">
            <w:pPr>
              <w:pStyle w:val="normal"/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96A61" w:rsidRDefault="00626B4A">
      <w:pPr>
        <w:pStyle w:val="normal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02.05.2006 № 59-ФЗ «О порядке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96A61" w:rsidRDefault="00626B4A">
      <w:pPr>
        <w:pStyle w:val="normal"/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Первому заместителю главы администрации города Березники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В.П.Шанину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</w:p>
    <w:p w:rsidR="00C96A61" w:rsidRDefault="00626B4A">
      <w:pPr>
        <w:pStyle w:val="normal"/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главы администрации города Березники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В.В.Рахмуллину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C96A61" w:rsidRDefault="00626B4A">
      <w:pPr>
        <w:pStyle w:val="normal"/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МВД России «Березниковский»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Мизину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– 1</w:t>
      </w:r>
    </w:p>
    <w:p w:rsidR="00C96A61" w:rsidRDefault="00626B4A">
      <w:pPr>
        <w:pStyle w:val="normal"/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«ЖЭУ-2» - 5</w:t>
      </w:r>
    </w:p>
    <w:p w:rsidR="00C96A61" w:rsidRDefault="00626B4A">
      <w:pPr>
        <w:pStyle w:val="normal"/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ООО «УК Перспектива» -3</w:t>
      </w:r>
    </w:p>
    <w:p w:rsidR="00C96A61" w:rsidRDefault="00626B4A">
      <w:pPr>
        <w:pStyle w:val="normal"/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УК ЖЭУ №1 -2</w:t>
      </w:r>
    </w:p>
    <w:p w:rsidR="00C96A61" w:rsidRDefault="00626B4A">
      <w:pPr>
        <w:pStyle w:val="normal"/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«Эксплуатация – МКД - 1</w:t>
      </w:r>
    </w:p>
    <w:p w:rsidR="00C96A61" w:rsidRDefault="00626B4A">
      <w:pPr>
        <w:pStyle w:val="normal"/>
        <w:widowControl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В ОКРУГЕ</w:t>
      </w:r>
    </w:p>
    <w:p w:rsidR="00C96A61" w:rsidRDefault="00626B4A">
      <w:pPr>
        <w:pStyle w:val="normal"/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 депутата в округе велась по основным направлениям:</w:t>
      </w:r>
    </w:p>
    <w:p w:rsidR="00C96A61" w:rsidRDefault="00626B4A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Социально-благотворительное:</w:t>
      </w:r>
    </w:p>
    <w:p w:rsidR="00C96A61" w:rsidRDefault="00626B4A">
      <w:pPr>
        <w:pStyle w:val="normal"/>
        <w:widowControl w:val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ветеранскими организациями округа</w:t>
      </w:r>
    </w:p>
    <w:p w:rsidR="00C96A61" w:rsidRDefault="00626B4A">
      <w:pPr>
        <w:pStyle w:val="normal"/>
        <w:widowControl w:val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общественными организациями города для детей с ОВЗ</w:t>
      </w:r>
    </w:p>
    <w:p w:rsidR="00C96A61" w:rsidRDefault="00626B4A">
      <w:pPr>
        <w:pStyle w:val="normal"/>
        <w:widowControl w:val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детьми группы риска, с многодетными семьями</w:t>
      </w:r>
    </w:p>
    <w:p w:rsidR="00C96A61" w:rsidRDefault="00626B4A">
      <w:pPr>
        <w:pStyle w:val="normal"/>
        <w:widowControl w:val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работа с МАУ «Молодежный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центр»</w:t>
      </w:r>
    </w:p>
    <w:p w:rsidR="00C96A61" w:rsidRDefault="00626B4A">
      <w:pPr>
        <w:pStyle w:val="normal"/>
        <w:widowControl w:val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МОД «Комитет экологического спасения города Березники»</w:t>
      </w:r>
    </w:p>
    <w:p w:rsidR="00C96A61" w:rsidRDefault="00626B4A">
      <w:pPr>
        <w:pStyle w:val="normal"/>
        <w:widowControl w:val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Местной общественной организацией «Клуб любителей собак»</w:t>
      </w:r>
    </w:p>
    <w:p w:rsidR="00C96A61" w:rsidRDefault="00626B4A">
      <w:pPr>
        <w:pStyle w:val="normal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Информационное:</w:t>
      </w:r>
    </w:p>
    <w:p w:rsidR="000D6602" w:rsidRPr="000D6602" w:rsidRDefault="00626B4A" w:rsidP="000D6602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разъяснение жителям округа о порядке и условиях вступления </w:t>
      </w:r>
      <w:r w:rsidR="000D6602">
        <w:rPr>
          <w:rFonts w:ascii="Times New Roman" w:hAnsi="Times New Roman"/>
          <w:sz w:val="24"/>
          <w:szCs w:val="24"/>
        </w:rPr>
        <w:t>м</w:t>
      </w:r>
      <w:r w:rsidR="000D6602" w:rsidRPr="000D6602">
        <w:rPr>
          <w:rFonts w:ascii="Times New Roman" w:hAnsi="Times New Roman"/>
          <w:sz w:val="24"/>
          <w:szCs w:val="24"/>
        </w:rPr>
        <w:t>униципальн</w:t>
      </w:r>
      <w:r w:rsidR="000D6602">
        <w:rPr>
          <w:rFonts w:ascii="Times New Roman" w:hAnsi="Times New Roman"/>
          <w:sz w:val="24"/>
          <w:szCs w:val="24"/>
        </w:rPr>
        <w:t>ую</w:t>
      </w:r>
      <w:r w:rsidR="000D6602" w:rsidRPr="000D6602">
        <w:rPr>
          <w:rFonts w:ascii="Times New Roman" w:hAnsi="Times New Roman"/>
          <w:sz w:val="24"/>
          <w:szCs w:val="24"/>
        </w:rPr>
        <w:t xml:space="preserve"> программ</w:t>
      </w:r>
      <w:r w:rsidR="000D6602">
        <w:rPr>
          <w:rFonts w:ascii="Times New Roman" w:hAnsi="Times New Roman"/>
          <w:sz w:val="24"/>
          <w:szCs w:val="24"/>
        </w:rPr>
        <w:t>у</w:t>
      </w:r>
      <w:r w:rsidR="000D6602" w:rsidRPr="000D6602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</w:t>
      </w:r>
      <w:r w:rsidR="000D6602">
        <w:rPr>
          <w:rFonts w:ascii="Times New Roman" w:hAnsi="Times New Roman"/>
          <w:sz w:val="24"/>
          <w:szCs w:val="24"/>
        </w:rPr>
        <w:t>;</w:t>
      </w:r>
    </w:p>
    <w:p w:rsidR="00C96A61" w:rsidRDefault="00626B4A">
      <w:pPr>
        <w:pStyle w:val="normal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разъяснение жителям округа о праве и порядке обращения в Инспекцию государственного жилищного надзора Пермского края;</w:t>
      </w:r>
    </w:p>
    <w:p w:rsidR="00C96A61" w:rsidRDefault="00626B4A">
      <w:pPr>
        <w:pStyle w:val="normal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разъяснение жителям округа о праве обращаться в Управляющую компанию, обслуживающую их дом, с претензией о некачественном исполнении условий договора;</w:t>
      </w:r>
    </w:p>
    <w:p w:rsidR="00C96A61" w:rsidRDefault="00626B4A">
      <w:pPr>
        <w:pStyle w:val="normal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разъяснение жителям округа о праве обращаться в Фонд капитального ремонта общего имущества в многоквартирных домах в Пермском крае;</w:t>
      </w:r>
    </w:p>
    <w:p w:rsidR="00C96A61" w:rsidRDefault="00626B4A">
      <w:pPr>
        <w:pStyle w:val="normal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разъяснение жителям округа о возможностях участия в конкурсе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жителей.</w:t>
      </w:r>
    </w:p>
    <w:p w:rsidR="00C96A61" w:rsidRDefault="00C96A6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61" w:rsidRDefault="00626B4A">
      <w:pPr>
        <w:pStyle w:val="normal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Депутат информировал жителей округа о реализации проектов и порядке вступления в них:</w:t>
      </w:r>
    </w:p>
    <w:p w:rsidR="00C96A61" w:rsidRPr="000D6602" w:rsidRDefault="000D6602" w:rsidP="00532199">
      <w:pPr>
        <w:pStyle w:val="a7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0222">
        <w:rPr>
          <w:rFonts w:ascii="Times New Roman" w:hAnsi="Times New Roman"/>
          <w:sz w:val="24"/>
          <w:szCs w:val="24"/>
          <w:lang w:eastAsia="zh-CN"/>
        </w:rPr>
        <w:t>Муниципальная программа «Формирование современной городской среды на территории муниципально</w:t>
      </w:r>
      <w:r>
        <w:rPr>
          <w:rFonts w:ascii="Times New Roman" w:hAnsi="Times New Roman"/>
          <w:sz w:val="24"/>
          <w:szCs w:val="24"/>
          <w:lang w:eastAsia="zh-CN"/>
        </w:rPr>
        <w:t>го образования «Город Березники</w:t>
      </w:r>
      <w:r w:rsidRPr="00680222">
        <w:rPr>
          <w:rFonts w:ascii="Times New Roman" w:hAnsi="Times New Roman"/>
          <w:sz w:val="24"/>
          <w:szCs w:val="24"/>
          <w:lang w:eastAsia="zh-CN"/>
        </w:rPr>
        <w:t xml:space="preserve">», которая </w:t>
      </w:r>
      <w:r>
        <w:rPr>
          <w:rFonts w:ascii="Times New Roman" w:hAnsi="Times New Roman"/>
          <w:sz w:val="24"/>
          <w:szCs w:val="24"/>
          <w:lang w:eastAsia="zh-CN"/>
        </w:rPr>
        <w:t>реализуется в рамках</w:t>
      </w:r>
      <w:r w:rsidRPr="00680222">
        <w:rPr>
          <w:rFonts w:ascii="Times New Roman" w:hAnsi="Times New Roman"/>
          <w:sz w:val="24"/>
          <w:szCs w:val="24"/>
          <w:lang w:eastAsia="zh-CN"/>
        </w:rPr>
        <w:t xml:space="preserve"> национального проекта «Жилье и городская среда»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6A2B01" w:rsidRPr="006A2B01" w:rsidRDefault="00626B4A" w:rsidP="00532199">
      <w:pPr>
        <w:pStyle w:val="normal"/>
        <w:widowControl w:val="0"/>
        <w:numPr>
          <w:ilvl w:val="0"/>
          <w:numId w:val="2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B01">
        <w:rPr>
          <w:rFonts w:ascii="Times New Roman" w:eastAsia="Times New Roman" w:hAnsi="Times New Roman" w:cs="Times New Roman"/>
          <w:sz w:val="24"/>
          <w:szCs w:val="24"/>
        </w:rPr>
        <w:t>О реализации</w:t>
      </w:r>
      <w:r w:rsidR="00C85E0A" w:rsidRPr="006A2B01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6A2B01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 w:rsidRPr="006A2B01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6A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A61" w:rsidRPr="006A2B01" w:rsidRDefault="00626B4A" w:rsidP="006A2B01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B01">
        <w:rPr>
          <w:rFonts w:ascii="Times New Roman" w:eastAsia="Times New Roman" w:hAnsi="Times New Roman" w:cs="Times New Roman"/>
          <w:b/>
          <w:sz w:val="24"/>
          <w:szCs w:val="24"/>
        </w:rPr>
        <w:t>При содействии депутата выполнены обращения граждан по вопросам: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Устройство наружного освещения сквера с детской площадкой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жилого дома Ломоносова, 101 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рамках содержания улично-дорожной сети в летний период 2020 года силами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г. Березники выполнены мероприятия по ямочному ремонту проезда вдоль Ломоносова 107, 109 и ул. Юбилейная 24, 26, 30, 34.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замене асфальтобетонного покрытия запланированы на 2021 год.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наружного освещения Сквера «Камень желаний» на пересечении ул. Льва Толстого – пр. Советский. В летний период 2020 года силами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г. Березники выполнены мероприятия по устройству двух дополнительных светильников, направленных на детскую площадку. 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мемориала «Вечный огонь», устройство пандусов для обеспечения доступности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 со стороны ул. Льва Толстого. Вопрос находится на контроле.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Восстановление тротуара ул. Л. Толстого (четная сторона) от ул. Юбилейная до пр. Советский.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обустройстве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для выгула и дрессировки собак в городе Березники. В 2020 году инициативная группа от МОО «Клуб любителей собак» принимали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Проект не прошел муниципальный фильтр. В данный момент ведутся переговоры с Администрацией города по выделению территории для обустройства площадки и подготовка документов к участию в конкурсе в 2021 году. Содействие МОО «Клуб любителей собак»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благоустройстве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спортивного зала для дрессировки собак.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Разовые обращения собственников в период эпидемии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по уборке и дезинфекции подъездов, подвалов по адресам </w:t>
      </w:r>
      <w:r w:rsidR="00675AF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Ломоносова</w:t>
      </w:r>
      <w:r w:rsidR="00675A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88, Л.Толстого, 62. Были составлены обращения в управляющие компании ЖЭУ -1, ЖПЭТ, работы выполнены.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собственников МКД по адресу</w:t>
      </w:r>
      <w:r w:rsidR="00675AF3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Ломоносова</w:t>
      </w:r>
      <w:r w:rsidR="00675A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88 по вопросу течи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кровли. Составлено обращение в ЖЭУ-1, работы выполнены, течь кровли устранена. На контроле вопрос по ремонту подъездных козырьков и остекление оконных рам в подъезде.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собственникам МКД по адресу </w:t>
      </w:r>
      <w:r w:rsidR="00675AF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Л.Толстого</w:t>
      </w:r>
      <w:r w:rsidR="00675A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 и 82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обустройстве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придомовой территории, установке детской площадки.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 собственников МКД по адресу Советский проспект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57 по вопросу благоустройства придомовой территории, восстановлению или обустройству детской площадки, замены труб в подвале. Составлено обращение в ООО «Эксплуатация – МКД», произведено обследование подвального помещения и квартир первого этажа, рекомендовано повторить осмотр в летний период 2021 года. Вопрос находится на контроле. Запланировано собрание с жителями дома для вступления в программу благоустройства придомовой территории.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вопроса по спилу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старовозрастных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тополей, растущих на месте расселенных домов (Ломоносова 81, Л. Толстого 68, 70). Вопрос находится на контроле.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состояния детских площадок.</w:t>
      </w:r>
    </w:p>
    <w:p w:rsidR="00C96A61" w:rsidRDefault="00626B4A">
      <w:pPr>
        <w:pStyle w:val="normal"/>
        <w:widowControl w:val="0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мемориала «Вечный огонь», устройство пандусов для обеспечения доступности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 со стороны ул. Льва Толстого. Вопрос находится на контроле. Проектной организацией по заказу МКУ «Управление капитального строительства» разработан проект по капитальному ремонту мемориала, реализация проекта планируется на 2019-2020 годы. С проектом можно ознакомиться на сайте Администрации города Березники. Вопрос находится на контроле.</w:t>
      </w:r>
    </w:p>
    <w:p w:rsidR="00C96A61" w:rsidRDefault="00626B4A">
      <w:pPr>
        <w:pStyle w:val="normal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инициативе депутата на территории округа проводились мероприятия: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Адресное поздравление ветеранов (участников) ВОВ (личные) и тружеников тыла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Днем Победы;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мероприятия Советов ветераном округа (23 февраля, 8 марта, 9 мая, День пожилого человека);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Поздравление педагогов МА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СОШ №24 г. Березники с Днем учителя;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праздников двора (3 мероприятия в течение летнего периода);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Поздравление юбиляров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Днем рождения (личные);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Новогоднее представление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КСЦ «Азот» для детей из многодетных семей округа;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состояния детских площадок на территории округа;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встреча представителей МКД Ломоносова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88, Льва Толстого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 и 82 с представителем УК ЖЭУ №1 по вопросу некачественного исполнения услуг по обслуживанию дома.</w:t>
      </w:r>
    </w:p>
    <w:p w:rsidR="00C96A61" w:rsidRDefault="00626B4A">
      <w:pPr>
        <w:pStyle w:val="normal"/>
        <w:widowControl w:val="0"/>
        <w:numPr>
          <w:ilvl w:val="0"/>
          <w:numId w:val="5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 содействии депутата оказана помощь:</w:t>
      </w:r>
    </w:p>
    <w:p w:rsidR="00C96A61" w:rsidRDefault="00626B4A">
      <w:pPr>
        <w:pStyle w:val="normal"/>
        <w:widowControl w:val="0"/>
        <w:numPr>
          <w:ilvl w:val="0"/>
          <w:numId w:val="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Совету ветеранов микрорайона №3 – материальная помощь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мероприятий округа;</w:t>
      </w:r>
    </w:p>
    <w:p w:rsidR="00C96A61" w:rsidRDefault="00626B4A">
      <w:pPr>
        <w:pStyle w:val="normal"/>
        <w:widowControl w:val="0"/>
        <w:numPr>
          <w:ilvl w:val="0"/>
          <w:numId w:val="8"/>
        </w:num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Совету ветеранов микрорайона №5 - материальная помощь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мероприятий округа;</w:t>
      </w:r>
    </w:p>
    <w:p w:rsidR="00C96A61" w:rsidRDefault="00626B4A">
      <w:pPr>
        <w:pStyle w:val="normal"/>
        <w:widowControl w:val="0"/>
        <w:numPr>
          <w:ilvl w:val="0"/>
          <w:numId w:val="8"/>
        </w:num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МОО «Клуб любителей собак» для благоустройства дрессировочного зала.</w:t>
      </w:r>
    </w:p>
    <w:p w:rsidR="00C96A61" w:rsidRDefault="00C96A61">
      <w:pPr>
        <w:pStyle w:val="normal"/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61" w:rsidRDefault="00626B4A">
      <w:pPr>
        <w:pStyle w:val="normal"/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 работал в следующих постоянных и временных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комиссиях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74E0" w:rsidRDefault="00F02374">
      <w:pPr>
        <w:pStyle w:val="normal"/>
        <w:widowControl w:val="0"/>
        <w:numPr>
          <w:ilvl w:val="0"/>
          <w:numId w:val="4"/>
        </w:numPr>
        <w:spacing w:line="360" w:lineRule="auto"/>
        <w:ind w:left="7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Финансово-бюджетная комиссия Березниковской городской Думы.</w:t>
      </w:r>
    </w:p>
    <w:p w:rsidR="00C96A61" w:rsidRDefault="00626B4A">
      <w:pPr>
        <w:pStyle w:val="normal"/>
        <w:widowControl w:val="0"/>
        <w:numPr>
          <w:ilvl w:val="0"/>
          <w:numId w:val="4"/>
        </w:numPr>
        <w:spacing w:line="360" w:lineRule="auto"/>
        <w:ind w:left="7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формированию и сохранению облика города Березники</w:t>
      </w:r>
      <w:r w:rsidR="00C374E0">
        <w:rPr>
          <w:rFonts w:ascii="Times New Roman" w:eastAsia="Times New Roman" w:hAnsi="Times New Roman" w:cs="Times New Roman"/>
          <w:sz w:val="24"/>
          <w:szCs w:val="24"/>
        </w:rPr>
        <w:t xml:space="preserve"> (по сентябрь 2020 года)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A61" w:rsidRDefault="00626B4A">
      <w:pPr>
        <w:pStyle w:val="normal"/>
        <w:widowControl w:val="0"/>
        <w:numPr>
          <w:ilvl w:val="0"/>
          <w:numId w:val="4"/>
        </w:numPr>
        <w:spacing w:line="360" w:lineRule="auto"/>
        <w:ind w:left="7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подготовке к празднованию Новогодних праздников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 xml:space="preserve"> при администрации города Березники.</w:t>
      </w:r>
    </w:p>
    <w:p w:rsidR="00C96A61" w:rsidRDefault="00626B4A">
      <w:pPr>
        <w:pStyle w:val="normal"/>
        <w:widowControl w:val="0"/>
        <w:numPr>
          <w:ilvl w:val="0"/>
          <w:numId w:val="4"/>
        </w:numPr>
        <w:spacing w:line="360" w:lineRule="auto"/>
        <w:ind w:left="7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по отбору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sz w:val="24"/>
          <w:szCs w:val="24"/>
        </w:rPr>
        <w:t>ород Березники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>» при администрации города Березники.</w:t>
      </w:r>
    </w:p>
    <w:p w:rsidR="00C96A61" w:rsidRDefault="00626B4A">
      <w:pPr>
        <w:pStyle w:val="normal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ПЕРСПЕКТИВНЫЙ ПЛАН РАБОТЫ НА 2021 ГОД:</w:t>
      </w:r>
    </w:p>
    <w:p w:rsidR="00C96A61" w:rsidRDefault="00626B4A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депутатском контроле капитальный ремонт проезда вдоль домов ул. Ломоносова 107, 109 и ул. Юбилейная 24, 26, 30, 34.</w:t>
      </w:r>
    </w:p>
    <w:p w:rsidR="00C96A61" w:rsidRDefault="00626B4A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депутатском контроле установка пандусов и реконструкция на Мемориале Победы.</w:t>
      </w:r>
    </w:p>
    <w:p w:rsidR="00C96A61" w:rsidRDefault="00626B4A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депутатском контроле ремонт ограждений и восстановление покрытия на спортивных объектах Комсомольского парка.</w:t>
      </w:r>
    </w:p>
    <w:p w:rsidR="00C96A61" w:rsidRDefault="00626B4A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состояния детской площадки у Камня желаний, работа по восстановлению демонтированных элементов.</w:t>
      </w:r>
    </w:p>
    <w:p w:rsidR="00C96A61" w:rsidRDefault="00626B4A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депутатском контроле мероприятия по организации занятости и занятий физкультурой и спортом для детей с ОВЗ;</w:t>
      </w:r>
    </w:p>
    <w:p w:rsidR="00C96A61" w:rsidRDefault="00626B4A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депутатском контроле благоустройство дрессировочной площадки для собак;</w:t>
      </w:r>
    </w:p>
    <w:p w:rsidR="00C96A61" w:rsidRDefault="00626B4A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 депутатском контроле строительство спортивной площадки и межшкольного стадиона в МА</w:t>
      </w:r>
      <w:r w:rsidR="00F0237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СОШ №24;</w:t>
      </w:r>
    </w:p>
    <w:p w:rsidR="00F02374" w:rsidRDefault="00626B4A" w:rsidP="00F02374">
      <w:pPr>
        <w:pStyle w:val="normal"/>
        <w:widowControl w:val="0"/>
        <w:numPr>
          <w:ilvl w:val="0"/>
          <w:numId w:val="6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встреча МКД Советский проспект 57 и представителя ООО «Эксплуатация – МКД» по вопросу благоустройства придомовой территории, восстановлению или обустройству детской площадки.</w:t>
      </w:r>
    </w:p>
    <w:p w:rsidR="00C96A61" w:rsidRPr="00F02374" w:rsidRDefault="00626B4A" w:rsidP="00A20483">
      <w:pPr>
        <w:pStyle w:val="normal"/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Отчет подготовил: помощник депутата </w:t>
      </w:r>
      <w:proofErr w:type="spellStart"/>
      <w:r w:rsidRPr="00F02374">
        <w:rPr>
          <w:rFonts w:ascii="Times New Roman" w:eastAsia="Times New Roman" w:hAnsi="Times New Roman" w:cs="Times New Roman"/>
          <w:sz w:val="24"/>
          <w:szCs w:val="24"/>
        </w:rPr>
        <w:t>Батин</w:t>
      </w:r>
      <w:proofErr w:type="spellEnd"/>
      <w:r w:rsidRPr="00F02374">
        <w:rPr>
          <w:rFonts w:ascii="Times New Roman" w:eastAsia="Times New Roman" w:hAnsi="Times New Roman" w:cs="Times New Roman"/>
          <w:sz w:val="24"/>
          <w:szCs w:val="24"/>
        </w:rPr>
        <w:t xml:space="preserve"> П.А.</w:t>
      </w:r>
    </w:p>
    <w:sectPr w:rsidR="00C96A61" w:rsidRPr="00F02374" w:rsidSect="00C96A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7D"/>
    <w:multiLevelType w:val="multilevel"/>
    <w:tmpl w:val="7CB83E7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1F51AE"/>
    <w:multiLevelType w:val="multilevel"/>
    <w:tmpl w:val="77009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4C06"/>
    <w:multiLevelType w:val="multilevel"/>
    <w:tmpl w:val="6DD052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5B4F"/>
    <w:multiLevelType w:val="multilevel"/>
    <w:tmpl w:val="3A66EC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B4634A4"/>
    <w:multiLevelType w:val="multilevel"/>
    <w:tmpl w:val="82CEB0D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3BFC724D"/>
    <w:multiLevelType w:val="multilevel"/>
    <w:tmpl w:val="DAAEFA2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4CE37037"/>
    <w:multiLevelType w:val="multilevel"/>
    <w:tmpl w:val="7FD0BD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5A762F6E"/>
    <w:multiLevelType w:val="multilevel"/>
    <w:tmpl w:val="A628FAA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5F3F41F5"/>
    <w:multiLevelType w:val="multilevel"/>
    <w:tmpl w:val="3C028A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6115277B"/>
    <w:multiLevelType w:val="multilevel"/>
    <w:tmpl w:val="8546337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64154DFA"/>
    <w:multiLevelType w:val="multilevel"/>
    <w:tmpl w:val="573C2E0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6F015977"/>
    <w:multiLevelType w:val="hybridMultilevel"/>
    <w:tmpl w:val="DA687656"/>
    <w:lvl w:ilvl="0" w:tplc="3FC6F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A61"/>
    <w:rsid w:val="000064C4"/>
    <w:rsid w:val="00050202"/>
    <w:rsid w:val="000D6602"/>
    <w:rsid w:val="00107535"/>
    <w:rsid w:val="00532199"/>
    <w:rsid w:val="00626B4A"/>
    <w:rsid w:val="00675AF3"/>
    <w:rsid w:val="006A2B01"/>
    <w:rsid w:val="009B3E24"/>
    <w:rsid w:val="00A20483"/>
    <w:rsid w:val="00BB60D5"/>
    <w:rsid w:val="00C17EFC"/>
    <w:rsid w:val="00C374E0"/>
    <w:rsid w:val="00C85E0A"/>
    <w:rsid w:val="00C96A61"/>
    <w:rsid w:val="00DF1869"/>
    <w:rsid w:val="00F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4"/>
  </w:style>
  <w:style w:type="paragraph" w:styleId="1">
    <w:name w:val="heading 1"/>
    <w:basedOn w:val="normal"/>
    <w:next w:val="normal"/>
    <w:rsid w:val="00C96A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96A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96A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96A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96A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96A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6A61"/>
  </w:style>
  <w:style w:type="table" w:customStyle="1" w:styleId="TableNormal">
    <w:name w:val="Table Normal"/>
    <w:rsid w:val="00C96A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6A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96A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96A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96A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675AF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Сирина</dc:creator>
  <cp:lastModifiedBy>sirina_yv</cp:lastModifiedBy>
  <cp:revision>12</cp:revision>
  <cp:lastPrinted>2021-01-27T06:01:00Z</cp:lastPrinted>
  <dcterms:created xsi:type="dcterms:W3CDTF">2021-01-25T03:45:00Z</dcterms:created>
  <dcterms:modified xsi:type="dcterms:W3CDTF">2021-01-29T12:03:00Z</dcterms:modified>
</cp:coreProperties>
</file>